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29" w:type="dxa"/>
        <w:tblLook w:val="04A0" w:firstRow="1" w:lastRow="0" w:firstColumn="1" w:lastColumn="0" w:noHBand="0" w:noVBand="1"/>
      </w:tblPr>
      <w:tblGrid>
        <w:gridCol w:w="10229"/>
      </w:tblGrid>
      <w:tr w:rsidR="001041B2" w:rsidRPr="001041B2" w14:paraId="6841C043" w14:textId="77777777" w:rsidTr="00507762">
        <w:trPr>
          <w:trHeight w:val="465"/>
        </w:trPr>
        <w:tc>
          <w:tcPr>
            <w:tcW w:w="10229" w:type="dxa"/>
            <w:tcBorders>
              <w:top w:val="nil"/>
              <w:left w:val="nil"/>
              <w:right w:val="nil"/>
            </w:tcBorders>
            <w:shd w:val="clear" w:color="auto" w:fill="352C61"/>
          </w:tcPr>
          <w:p w14:paraId="0D5746BF" w14:textId="3583AF42" w:rsidR="001041B2" w:rsidRPr="001041B2" w:rsidRDefault="001041B2" w:rsidP="00507762">
            <w:pPr>
              <w:jc w:val="center"/>
              <w:rPr>
                <w:b/>
                <w:color w:val="FFFFFF" w:themeColor="background1"/>
                <w:sz w:val="32"/>
                <w:szCs w:val="32"/>
              </w:rPr>
            </w:pPr>
            <w:r w:rsidRPr="001041B2">
              <w:rPr>
                <w:b/>
                <w:color w:val="FFFFFF" w:themeColor="background1"/>
                <w:sz w:val="32"/>
                <w:szCs w:val="32"/>
              </w:rPr>
              <w:t>Checklist - ontvankelijkheid van nationale en transnationale gedragscodes</w:t>
            </w:r>
          </w:p>
        </w:tc>
      </w:tr>
      <w:tr w:rsidR="001041B2" w:rsidRPr="001041B2" w14:paraId="0087D446" w14:textId="77777777" w:rsidTr="00507762">
        <w:trPr>
          <w:trHeight w:val="465"/>
        </w:trPr>
        <w:tc>
          <w:tcPr>
            <w:tcW w:w="10229" w:type="dxa"/>
            <w:shd w:val="clear" w:color="auto" w:fill="FFFFFF" w:themeFill="background1"/>
          </w:tcPr>
          <w:p w14:paraId="3D79B0FE" w14:textId="40D6C3AE" w:rsidR="001041B2" w:rsidRPr="001041B2" w:rsidRDefault="001041B2" w:rsidP="00507762">
            <w:pPr>
              <w:rPr>
                <w:b/>
                <w:color w:val="FFFFFF" w:themeColor="background1"/>
                <w:sz w:val="24"/>
                <w:szCs w:val="24"/>
              </w:rPr>
            </w:pPr>
            <w:r w:rsidRPr="001041B2">
              <w:rPr>
                <w:b/>
                <w:color w:val="352C61"/>
                <w:sz w:val="24"/>
                <w:szCs w:val="24"/>
              </w:rPr>
              <w:t xml:space="preserve">We raden u aan om de GBA eerst te contacteren met uw vragen of eventuele twijfels over uw ontwerp van gedragscode voordat u de gedragscode officieel indient. Eenmaal de gedragscode is ingediend, is de GBA gehouden om een positief of een negatief advies te geven op de gedragscode. Graag wijzen wij u ook op de informatie over gedragscodes die beschikbaar is in ons themadossier over </w:t>
            </w:r>
            <w:hyperlink r:id="rId8" w:history="1">
              <w:r w:rsidRPr="001041B2">
                <w:rPr>
                  <w:rStyle w:val="Hyperlink"/>
                  <w:b/>
                  <w:color w:val="776ABB"/>
                  <w:sz w:val="24"/>
                  <w:szCs w:val="24"/>
                </w:rPr>
                <w:t>gedragscodes</w:t>
              </w:r>
            </w:hyperlink>
            <w:r w:rsidRPr="001041B2">
              <w:rPr>
                <w:b/>
                <w:color w:val="352C61"/>
                <w:sz w:val="24"/>
                <w:szCs w:val="24"/>
              </w:rPr>
              <w:t>.</w:t>
            </w:r>
          </w:p>
        </w:tc>
      </w:tr>
    </w:tbl>
    <w:p w14:paraId="6900F643" w14:textId="77777777" w:rsidR="001041B2" w:rsidRPr="001041B2" w:rsidRDefault="001041B2" w:rsidP="00655A5A">
      <w:pPr>
        <w:jc w:val="center"/>
        <w:rPr>
          <w:b/>
          <w:sz w:val="24"/>
        </w:rPr>
      </w:pPr>
    </w:p>
    <w:p w14:paraId="7F353841" w14:textId="50A997D7" w:rsidR="00655A5A" w:rsidRDefault="0001627A" w:rsidP="00655A5A">
      <w:pPr>
        <w:rPr>
          <w:b/>
          <w:sz w:val="24"/>
          <w:lang w:val="fr-BE"/>
        </w:rPr>
      </w:pPr>
      <w:r>
        <w:rPr>
          <w:b/>
          <w:sz w:val="24"/>
          <w:lang w:val="fr-BE"/>
        </w:rPr>
        <w:t>Waarom een checklist</w:t>
      </w:r>
      <w:r w:rsidR="00655A5A">
        <w:rPr>
          <w:b/>
          <w:sz w:val="24"/>
          <w:lang w:val="fr-BE"/>
        </w:rPr>
        <w:t xml:space="preserve"> ? </w:t>
      </w:r>
    </w:p>
    <w:p w14:paraId="1532F411" w14:textId="266D8E4F" w:rsidR="0001627A" w:rsidRPr="00882172" w:rsidRDefault="00A133B1" w:rsidP="00205F80">
      <w:pPr>
        <w:pStyle w:val="ListParagraph"/>
        <w:numPr>
          <w:ilvl w:val="0"/>
          <w:numId w:val="3"/>
        </w:numPr>
        <w:jc w:val="both"/>
        <w:rPr>
          <w:sz w:val="24"/>
        </w:rPr>
      </w:pPr>
      <w:r>
        <w:rPr>
          <w:sz w:val="24"/>
        </w:rPr>
        <w:t>Met de checklist kan u nagaan</w:t>
      </w:r>
      <w:r w:rsidR="00882172" w:rsidRPr="00882172">
        <w:rPr>
          <w:sz w:val="24"/>
        </w:rPr>
        <w:t xml:space="preserve"> of de gedragscode voldoet aan alle ontvankelijkheids</w:t>
      </w:r>
      <w:r>
        <w:rPr>
          <w:sz w:val="24"/>
        </w:rPr>
        <w:t>-</w:t>
      </w:r>
      <w:r w:rsidR="00882172" w:rsidRPr="00882172">
        <w:rPr>
          <w:sz w:val="24"/>
        </w:rPr>
        <w:t xml:space="preserve">criteria zodat de GBA zo snel mogelijk kan overgaan tot de inhoudelijke beoordeling van uw gedragscode. </w:t>
      </w:r>
      <w:r w:rsidR="00882172">
        <w:rPr>
          <w:sz w:val="24"/>
        </w:rPr>
        <w:t>Indien uw gedragscode niet voldoet aan de ontvankelijkheids</w:t>
      </w:r>
      <w:r>
        <w:rPr>
          <w:sz w:val="24"/>
        </w:rPr>
        <w:t>-</w:t>
      </w:r>
      <w:r w:rsidR="00882172">
        <w:rPr>
          <w:sz w:val="24"/>
        </w:rPr>
        <w:t xml:space="preserve">criteria, kan de GBA </w:t>
      </w:r>
      <w:r>
        <w:rPr>
          <w:sz w:val="24"/>
        </w:rPr>
        <w:t>de</w:t>
      </w:r>
      <w:r w:rsidR="00882172">
        <w:rPr>
          <w:sz w:val="24"/>
        </w:rPr>
        <w:t xml:space="preserve"> gedragscode niet aanvaarden en moet u</w:t>
      </w:r>
      <w:r>
        <w:rPr>
          <w:sz w:val="24"/>
        </w:rPr>
        <w:t xml:space="preserve"> deze </w:t>
      </w:r>
      <w:r w:rsidR="00882172">
        <w:rPr>
          <w:sz w:val="24"/>
        </w:rPr>
        <w:t>opnieuw indienen.</w:t>
      </w:r>
    </w:p>
    <w:p w14:paraId="37BC07E1" w14:textId="4C2807D4" w:rsidR="00655A5A" w:rsidRPr="00B44C58" w:rsidRDefault="00655A5A" w:rsidP="00882172">
      <w:pPr>
        <w:pStyle w:val="ListParagraph"/>
        <w:rPr>
          <w:sz w:val="24"/>
        </w:rPr>
      </w:pPr>
    </w:p>
    <w:tbl>
      <w:tblPr>
        <w:tblStyle w:val="TableGrid"/>
        <w:tblW w:w="10229" w:type="dxa"/>
        <w:tblLook w:val="04A0" w:firstRow="1" w:lastRow="0" w:firstColumn="1" w:lastColumn="0" w:noHBand="0" w:noVBand="1"/>
      </w:tblPr>
      <w:tblGrid>
        <w:gridCol w:w="7966"/>
        <w:gridCol w:w="1111"/>
        <w:gridCol w:w="1152"/>
      </w:tblGrid>
      <w:tr w:rsidR="009E422F" w:rsidRPr="00655A5A" w14:paraId="3AB90AE6" w14:textId="77777777" w:rsidTr="001041B2">
        <w:trPr>
          <w:trHeight w:val="465"/>
        </w:trPr>
        <w:tc>
          <w:tcPr>
            <w:tcW w:w="7966" w:type="dxa"/>
            <w:shd w:val="clear" w:color="auto" w:fill="4E4387"/>
          </w:tcPr>
          <w:p w14:paraId="43871CBA" w14:textId="60C5D748" w:rsidR="009E422F" w:rsidRPr="001041B2" w:rsidRDefault="00882172" w:rsidP="00C11BF2">
            <w:pPr>
              <w:jc w:val="center"/>
              <w:rPr>
                <w:b/>
                <w:color w:val="FFFFFF" w:themeColor="background1"/>
                <w:sz w:val="32"/>
              </w:rPr>
            </w:pPr>
            <w:r w:rsidRPr="001041B2">
              <w:rPr>
                <w:b/>
                <w:color w:val="FFFFFF" w:themeColor="background1"/>
                <w:sz w:val="32"/>
              </w:rPr>
              <w:t>Ontvankelijkheidscriteria voor gedragscodes</w:t>
            </w:r>
          </w:p>
        </w:tc>
        <w:tc>
          <w:tcPr>
            <w:tcW w:w="1111" w:type="dxa"/>
            <w:shd w:val="clear" w:color="auto" w:fill="4E4387"/>
          </w:tcPr>
          <w:p w14:paraId="3165EB2E" w14:textId="2B7DE796" w:rsidR="009E422F" w:rsidRPr="001041B2" w:rsidRDefault="00882172" w:rsidP="00724088">
            <w:pPr>
              <w:jc w:val="center"/>
              <w:rPr>
                <w:b/>
                <w:color w:val="FFFFFF" w:themeColor="background1"/>
                <w:sz w:val="32"/>
                <w:szCs w:val="32"/>
                <w:lang w:val="fr-BE"/>
              </w:rPr>
            </w:pPr>
            <w:r w:rsidRPr="001041B2">
              <w:rPr>
                <w:b/>
                <w:color w:val="FFFFFF" w:themeColor="background1"/>
                <w:sz w:val="32"/>
                <w:szCs w:val="32"/>
                <w:lang w:val="fr-BE"/>
              </w:rPr>
              <w:t>JA</w:t>
            </w:r>
          </w:p>
        </w:tc>
        <w:tc>
          <w:tcPr>
            <w:tcW w:w="1152" w:type="dxa"/>
            <w:shd w:val="clear" w:color="auto" w:fill="4E4387"/>
          </w:tcPr>
          <w:p w14:paraId="2DFC14DC" w14:textId="24A4B5E5" w:rsidR="009E422F" w:rsidRPr="001041B2" w:rsidRDefault="009E422F" w:rsidP="00882172">
            <w:pPr>
              <w:jc w:val="center"/>
              <w:rPr>
                <w:b/>
                <w:color w:val="FFFFFF" w:themeColor="background1"/>
                <w:sz w:val="32"/>
                <w:szCs w:val="32"/>
                <w:lang w:val="fr-BE"/>
              </w:rPr>
            </w:pPr>
            <w:r w:rsidRPr="001041B2">
              <w:rPr>
                <w:b/>
                <w:color w:val="FFFFFF" w:themeColor="background1"/>
                <w:sz w:val="32"/>
                <w:szCs w:val="32"/>
                <w:lang w:val="fr-BE"/>
              </w:rPr>
              <w:t>N</w:t>
            </w:r>
            <w:r w:rsidR="00882172" w:rsidRPr="001041B2">
              <w:rPr>
                <w:b/>
                <w:color w:val="FFFFFF" w:themeColor="background1"/>
                <w:sz w:val="32"/>
                <w:szCs w:val="32"/>
                <w:lang w:val="fr-BE"/>
              </w:rPr>
              <w:t>EEN</w:t>
            </w:r>
          </w:p>
        </w:tc>
      </w:tr>
      <w:tr w:rsidR="009E422F" w:rsidRPr="00882172" w14:paraId="29F68B65" w14:textId="77777777" w:rsidTr="009E422F">
        <w:trPr>
          <w:trHeight w:val="764"/>
        </w:trPr>
        <w:tc>
          <w:tcPr>
            <w:tcW w:w="7966" w:type="dxa"/>
          </w:tcPr>
          <w:p w14:paraId="67E3DE43" w14:textId="48D3FDDE" w:rsidR="00882172" w:rsidRPr="00882172" w:rsidRDefault="00882172" w:rsidP="00882172">
            <w:pPr>
              <w:pStyle w:val="ListParagraph"/>
              <w:numPr>
                <w:ilvl w:val="0"/>
                <w:numId w:val="2"/>
              </w:numPr>
              <w:jc w:val="both"/>
              <w:rPr>
                <w:sz w:val="24"/>
              </w:rPr>
            </w:pPr>
            <w:r w:rsidRPr="00882172">
              <w:rPr>
                <w:b/>
                <w:sz w:val="24"/>
              </w:rPr>
              <w:t>Representativiteit</w:t>
            </w:r>
            <w:r w:rsidRPr="00882172">
              <w:rPr>
                <w:sz w:val="24"/>
              </w:rPr>
              <w:t xml:space="preserve">. De vereniging toont aan dat zij de verwerkingsverantwoordelijken en/of verwerkers voor wie de gedragscode is opgesteld, vertegenwoordigt (bijv. </w:t>
            </w:r>
            <w:r>
              <w:rPr>
                <w:sz w:val="24"/>
              </w:rPr>
              <w:t>het percentage van leden binnen de betrokken sector, ervaring in de sector, etc.)</w:t>
            </w:r>
            <w:r w:rsidR="00205F80">
              <w:rPr>
                <w:sz w:val="24"/>
              </w:rPr>
              <w:t>.</w:t>
            </w:r>
          </w:p>
        </w:tc>
        <w:tc>
          <w:tcPr>
            <w:tcW w:w="1111" w:type="dxa"/>
          </w:tcPr>
          <w:p w14:paraId="2BD29FD6" w14:textId="77777777" w:rsidR="009E422F" w:rsidRPr="00882172" w:rsidRDefault="009E422F" w:rsidP="00BB5D7B">
            <w:pPr>
              <w:jc w:val="both"/>
              <w:rPr>
                <w:sz w:val="24"/>
              </w:rPr>
            </w:pPr>
          </w:p>
        </w:tc>
        <w:tc>
          <w:tcPr>
            <w:tcW w:w="1152" w:type="dxa"/>
          </w:tcPr>
          <w:p w14:paraId="4A4A9302" w14:textId="77777777" w:rsidR="009E422F" w:rsidRPr="00882172" w:rsidRDefault="009E422F" w:rsidP="00BB5D7B">
            <w:pPr>
              <w:jc w:val="both"/>
              <w:rPr>
                <w:sz w:val="24"/>
              </w:rPr>
            </w:pPr>
          </w:p>
        </w:tc>
      </w:tr>
      <w:tr w:rsidR="009E422F" w:rsidRPr="00092089" w14:paraId="6B84B0F5" w14:textId="77777777" w:rsidTr="009E422F">
        <w:trPr>
          <w:trHeight w:val="737"/>
        </w:trPr>
        <w:tc>
          <w:tcPr>
            <w:tcW w:w="7966" w:type="dxa"/>
          </w:tcPr>
          <w:p w14:paraId="4F8A6C7E" w14:textId="30FA05E1" w:rsidR="00092089" w:rsidRPr="00882172" w:rsidRDefault="00092089" w:rsidP="00300BD4">
            <w:pPr>
              <w:pStyle w:val="ListParagraph"/>
              <w:numPr>
                <w:ilvl w:val="0"/>
                <w:numId w:val="2"/>
              </w:numPr>
              <w:jc w:val="both"/>
              <w:rPr>
                <w:sz w:val="24"/>
              </w:rPr>
            </w:pPr>
            <w:r>
              <w:rPr>
                <w:b/>
                <w:sz w:val="24"/>
              </w:rPr>
              <w:t>Toelichtende nota</w:t>
            </w:r>
            <w:r w:rsidRPr="00092089">
              <w:rPr>
                <w:sz w:val="24"/>
              </w:rPr>
              <w:t>.</w:t>
            </w:r>
            <w:r>
              <w:rPr>
                <w:sz w:val="24"/>
              </w:rPr>
              <w:t xml:space="preserve"> De voorgestelde gedragscode bevat een bondige en heldere toelichting over de onderstaande elementen:</w:t>
            </w:r>
          </w:p>
          <w:p w14:paraId="4522C1E4" w14:textId="77777777" w:rsidR="009E422F" w:rsidRPr="00882172" w:rsidRDefault="00CE334A" w:rsidP="00A33459">
            <w:pPr>
              <w:jc w:val="both"/>
              <w:rPr>
                <w:sz w:val="24"/>
              </w:rPr>
            </w:pPr>
            <w:r>
              <w:rPr>
                <w:sz w:val="24"/>
                <w:lang w:val="fr-BE"/>
              </w:rPr>
              <w:pict w14:anchorId="30101EBF">
                <v:rect id="_x0000_i1025" style="width:0;height:1.5pt" o:hralign="center" o:hrstd="t" o:hr="t" fillcolor="#a0a0a0" stroked="f"/>
              </w:pict>
            </w:r>
          </w:p>
          <w:p w14:paraId="083A973E" w14:textId="1450FCA9" w:rsidR="00092089" w:rsidRPr="00092089" w:rsidRDefault="00092089" w:rsidP="00BB5D7B">
            <w:pPr>
              <w:pStyle w:val="ListParagraph"/>
              <w:numPr>
                <w:ilvl w:val="0"/>
                <w:numId w:val="1"/>
              </w:numPr>
              <w:jc w:val="both"/>
              <w:rPr>
                <w:sz w:val="24"/>
              </w:rPr>
            </w:pPr>
            <w:r w:rsidRPr="00092089">
              <w:rPr>
                <w:sz w:val="24"/>
              </w:rPr>
              <w:t xml:space="preserve">een uitleg over de </w:t>
            </w:r>
            <w:r w:rsidRPr="00092089">
              <w:rPr>
                <w:b/>
                <w:sz w:val="24"/>
              </w:rPr>
              <w:t>toegevoegde waarde</w:t>
            </w:r>
            <w:r w:rsidRPr="00092089">
              <w:rPr>
                <w:sz w:val="24"/>
              </w:rPr>
              <w:t xml:space="preserve"> die de gedragscode cre</w:t>
            </w:r>
            <w:r>
              <w:rPr>
                <w:sz w:val="24"/>
              </w:rPr>
              <w:t>ëert ten opzicht van de AVG</w:t>
            </w:r>
          </w:p>
          <w:p w14:paraId="67FAD360" w14:textId="77777777" w:rsidR="009E422F" w:rsidRPr="00A33459" w:rsidRDefault="00CE334A" w:rsidP="00A33459">
            <w:pPr>
              <w:jc w:val="both"/>
              <w:rPr>
                <w:sz w:val="24"/>
                <w:lang w:val="fr-BE"/>
              </w:rPr>
            </w:pPr>
            <w:r>
              <w:rPr>
                <w:sz w:val="24"/>
                <w:lang w:val="fr-BE"/>
              </w:rPr>
              <w:pict w14:anchorId="7578423A">
                <v:rect id="_x0000_i1026" style="width:0;height:1.5pt" o:hralign="center" o:hrstd="t" o:hr="t" fillcolor="#a0a0a0" stroked="f"/>
              </w:pict>
            </w:r>
          </w:p>
          <w:p w14:paraId="01F99C77" w14:textId="1CC90486" w:rsidR="00092089" w:rsidRDefault="00092089" w:rsidP="00092089">
            <w:pPr>
              <w:pStyle w:val="ListParagraph"/>
              <w:numPr>
                <w:ilvl w:val="0"/>
                <w:numId w:val="1"/>
              </w:numPr>
              <w:jc w:val="both"/>
              <w:rPr>
                <w:sz w:val="24"/>
              </w:rPr>
            </w:pPr>
            <w:r>
              <w:rPr>
                <w:sz w:val="24"/>
              </w:rPr>
              <w:t>h</w:t>
            </w:r>
            <w:r w:rsidRPr="00092089">
              <w:rPr>
                <w:sz w:val="24"/>
              </w:rPr>
              <w:t xml:space="preserve">et </w:t>
            </w:r>
            <w:r w:rsidRPr="00092089">
              <w:rPr>
                <w:b/>
                <w:sz w:val="24"/>
              </w:rPr>
              <w:t>materiële toepassingsgebied</w:t>
            </w:r>
            <w:r w:rsidRPr="00092089">
              <w:rPr>
                <w:sz w:val="24"/>
              </w:rPr>
              <w:t xml:space="preserve"> van de gedragscode :</w:t>
            </w:r>
          </w:p>
          <w:p w14:paraId="335BC129" w14:textId="59A8BB1B" w:rsidR="00205F80" w:rsidRPr="00092089" w:rsidRDefault="00205F80" w:rsidP="00205F80">
            <w:pPr>
              <w:pStyle w:val="ListParagraph"/>
              <w:numPr>
                <w:ilvl w:val="1"/>
                <w:numId w:val="1"/>
              </w:numPr>
              <w:jc w:val="both"/>
              <w:rPr>
                <w:sz w:val="24"/>
              </w:rPr>
            </w:pPr>
            <w:r>
              <w:rPr>
                <w:sz w:val="24"/>
              </w:rPr>
              <w:t>een korte en heldere beschrijving van de betrokken sector;</w:t>
            </w:r>
          </w:p>
          <w:p w14:paraId="2E6B1749" w14:textId="391ED8B2" w:rsidR="00092089" w:rsidRDefault="00092089" w:rsidP="00092089">
            <w:pPr>
              <w:pStyle w:val="ListParagraph"/>
              <w:numPr>
                <w:ilvl w:val="1"/>
                <w:numId w:val="1"/>
              </w:numPr>
              <w:jc w:val="both"/>
              <w:rPr>
                <w:sz w:val="24"/>
              </w:rPr>
            </w:pPr>
            <w:r>
              <w:rPr>
                <w:sz w:val="24"/>
              </w:rPr>
              <w:t>wie zijn de leden van de gedragscode</w:t>
            </w:r>
            <w:r w:rsidR="00205F80">
              <w:rPr>
                <w:sz w:val="24"/>
              </w:rPr>
              <w:t xml:space="preserve"> en treden zij op als verwerker of verwerkingsverantwoordelijken</w:t>
            </w:r>
            <w:r>
              <w:rPr>
                <w:sz w:val="24"/>
              </w:rPr>
              <w:t>;</w:t>
            </w:r>
          </w:p>
          <w:p w14:paraId="0FF96982" w14:textId="268140EA" w:rsidR="00092089" w:rsidRDefault="00092089" w:rsidP="00092089">
            <w:pPr>
              <w:pStyle w:val="ListParagraph"/>
              <w:numPr>
                <w:ilvl w:val="1"/>
                <w:numId w:val="1"/>
              </w:numPr>
              <w:jc w:val="both"/>
              <w:rPr>
                <w:sz w:val="24"/>
              </w:rPr>
            </w:pPr>
            <w:r>
              <w:rPr>
                <w:sz w:val="24"/>
              </w:rPr>
              <w:t>welke verwerkingen regelt de gedragscode;</w:t>
            </w:r>
          </w:p>
          <w:p w14:paraId="170E61DF" w14:textId="6F6BEEFE" w:rsidR="00092089" w:rsidRDefault="00092089" w:rsidP="00092089">
            <w:pPr>
              <w:pStyle w:val="ListParagraph"/>
              <w:numPr>
                <w:ilvl w:val="1"/>
                <w:numId w:val="1"/>
              </w:numPr>
              <w:jc w:val="both"/>
              <w:rPr>
                <w:sz w:val="24"/>
              </w:rPr>
            </w:pPr>
            <w:r>
              <w:rPr>
                <w:sz w:val="24"/>
              </w:rPr>
              <w:t xml:space="preserve">welke personen worden </w:t>
            </w:r>
            <w:r w:rsidR="00205F80">
              <w:rPr>
                <w:sz w:val="24"/>
              </w:rPr>
              <w:t xml:space="preserve">als betrokkenen </w:t>
            </w:r>
            <w:r>
              <w:rPr>
                <w:sz w:val="24"/>
              </w:rPr>
              <w:t>geraakt door de verwerkingen die de gedragscode regelt (bijv. werknemers, kinderen, etc.);</w:t>
            </w:r>
          </w:p>
          <w:p w14:paraId="3A550595" w14:textId="1ABC674F" w:rsidR="00092089" w:rsidRPr="00092089" w:rsidRDefault="00092089" w:rsidP="00092089">
            <w:pPr>
              <w:pStyle w:val="ListParagraph"/>
              <w:numPr>
                <w:ilvl w:val="1"/>
                <w:numId w:val="1"/>
              </w:numPr>
              <w:jc w:val="both"/>
              <w:rPr>
                <w:sz w:val="24"/>
              </w:rPr>
            </w:pPr>
            <w:r>
              <w:rPr>
                <w:sz w:val="24"/>
              </w:rPr>
              <w:t>welke categorieën van persoonsgegevens worden verwerkt (bijv. bijzondere categorieën, human resources data etc.)</w:t>
            </w:r>
            <w:r w:rsidR="00205F80">
              <w:rPr>
                <w:sz w:val="24"/>
              </w:rPr>
              <w:t>.</w:t>
            </w:r>
          </w:p>
          <w:p w14:paraId="5F6AE921" w14:textId="77777777" w:rsidR="009E422F" w:rsidRPr="00A33459" w:rsidRDefault="00CE334A" w:rsidP="00A33459">
            <w:pPr>
              <w:jc w:val="both"/>
              <w:rPr>
                <w:sz w:val="24"/>
                <w:lang w:val="fr-BE"/>
              </w:rPr>
            </w:pPr>
            <w:bookmarkStart w:id="0" w:name="_GoBack"/>
            <w:r>
              <w:rPr>
                <w:sz w:val="24"/>
                <w:lang w:val="fr-BE"/>
              </w:rPr>
              <w:pict w14:anchorId="219197CB">
                <v:rect id="_x0000_i1027" style="width:0;height:1.5pt" o:hralign="center" o:hrstd="t" o:hr="t" fillcolor="#a0a0a0" stroked="f"/>
              </w:pict>
            </w:r>
            <w:bookmarkEnd w:id="0"/>
          </w:p>
          <w:p w14:paraId="125B7969" w14:textId="77777777" w:rsidR="00092089" w:rsidRDefault="00092089" w:rsidP="00092089">
            <w:pPr>
              <w:pStyle w:val="ListParagraph"/>
              <w:numPr>
                <w:ilvl w:val="0"/>
                <w:numId w:val="1"/>
              </w:numPr>
              <w:jc w:val="both"/>
              <w:rPr>
                <w:sz w:val="24"/>
              </w:rPr>
            </w:pPr>
            <w:r w:rsidRPr="00092089">
              <w:rPr>
                <w:sz w:val="24"/>
              </w:rPr>
              <w:t>Het territoriaal toepassingsgebied van de gedragscode</w:t>
            </w:r>
            <w:r w:rsidR="00F824DA">
              <w:rPr>
                <w:sz w:val="24"/>
              </w:rPr>
              <w:t>:</w:t>
            </w:r>
          </w:p>
          <w:p w14:paraId="45DC4591" w14:textId="07D49396" w:rsidR="00F824DA" w:rsidRDefault="00F824DA" w:rsidP="00F824DA">
            <w:pPr>
              <w:pStyle w:val="ListParagraph"/>
              <w:numPr>
                <w:ilvl w:val="1"/>
                <w:numId w:val="1"/>
              </w:numPr>
              <w:jc w:val="both"/>
              <w:rPr>
                <w:sz w:val="24"/>
              </w:rPr>
            </w:pPr>
            <w:r>
              <w:rPr>
                <w:sz w:val="24"/>
              </w:rPr>
              <w:t xml:space="preserve">Is de gedragscode nationaal of transnationaal (zie annex 1 bij de </w:t>
            </w:r>
            <w:hyperlink r:id="rId9" w:history="1">
              <w:r w:rsidRPr="00CE334A">
                <w:rPr>
                  <w:rStyle w:val="Hyperlink"/>
                  <w:color w:val="776ABB"/>
                  <w:sz w:val="24"/>
                </w:rPr>
                <w:t>Europese richtlijnen 1/2019</w:t>
              </w:r>
            </w:hyperlink>
            <w:r>
              <w:rPr>
                <w:sz w:val="24"/>
              </w:rPr>
              <w:t>).</w:t>
            </w:r>
          </w:p>
          <w:p w14:paraId="77A11AB5" w14:textId="77777777" w:rsidR="00F824DA" w:rsidRDefault="00F824DA" w:rsidP="00F824DA">
            <w:pPr>
              <w:pStyle w:val="ListParagraph"/>
              <w:numPr>
                <w:ilvl w:val="2"/>
                <w:numId w:val="1"/>
              </w:numPr>
              <w:jc w:val="both"/>
              <w:rPr>
                <w:sz w:val="24"/>
              </w:rPr>
            </w:pPr>
            <w:r>
              <w:rPr>
                <w:sz w:val="24"/>
              </w:rPr>
              <w:t>Alleen wanneer de gedragscode transnationaal is:</w:t>
            </w:r>
          </w:p>
          <w:p w14:paraId="7A8A7A0D" w14:textId="5A87A4A1" w:rsidR="00F824DA" w:rsidRDefault="00F824DA" w:rsidP="00F824DA">
            <w:pPr>
              <w:pStyle w:val="ListParagraph"/>
              <w:numPr>
                <w:ilvl w:val="3"/>
                <w:numId w:val="1"/>
              </w:numPr>
              <w:jc w:val="both"/>
              <w:rPr>
                <w:sz w:val="24"/>
              </w:rPr>
            </w:pPr>
            <w:r>
              <w:rPr>
                <w:sz w:val="24"/>
              </w:rPr>
              <w:t>welke zijn de betrokken toezichthoudende autoriteiten?</w:t>
            </w:r>
          </w:p>
          <w:p w14:paraId="15D53FB7" w14:textId="1C6B4682" w:rsidR="00F824DA" w:rsidRDefault="00F824DA" w:rsidP="00F824DA">
            <w:pPr>
              <w:pStyle w:val="ListParagraph"/>
              <w:numPr>
                <w:ilvl w:val="3"/>
                <w:numId w:val="1"/>
              </w:numPr>
              <w:jc w:val="both"/>
              <w:rPr>
                <w:sz w:val="24"/>
              </w:rPr>
            </w:pPr>
            <w:r>
              <w:rPr>
                <w:sz w:val="24"/>
              </w:rPr>
              <w:t>de vereniging voegt de motivering toe die volgens de criteria van annex 2 bij de</w:t>
            </w:r>
            <w:r w:rsidRPr="00CE334A">
              <w:rPr>
                <w:color w:val="776ABB"/>
                <w:sz w:val="24"/>
              </w:rPr>
              <w:t xml:space="preserve"> </w:t>
            </w:r>
            <w:hyperlink r:id="rId10" w:history="1">
              <w:r w:rsidRPr="00CE334A">
                <w:rPr>
                  <w:rStyle w:val="Hyperlink"/>
                  <w:color w:val="776ABB"/>
                  <w:sz w:val="24"/>
                </w:rPr>
                <w:t>Europese richtlijnen 1/2019</w:t>
              </w:r>
            </w:hyperlink>
            <w:r>
              <w:rPr>
                <w:sz w:val="24"/>
              </w:rPr>
              <w:t xml:space="preserve">, </w:t>
            </w:r>
            <w:r>
              <w:rPr>
                <w:sz w:val="24"/>
              </w:rPr>
              <w:lastRenderedPageBreak/>
              <w:t>de GBA aanduidt als bevoegde toezichthoudende autoriteit die de gedragscode zal evalueren</w:t>
            </w:r>
          </w:p>
          <w:p w14:paraId="38E2A492" w14:textId="53F93D19" w:rsidR="00F824DA" w:rsidRPr="00092089" w:rsidRDefault="00F824DA" w:rsidP="00A133B1">
            <w:pPr>
              <w:pStyle w:val="ListParagraph"/>
              <w:numPr>
                <w:ilvl w:val="3"/>
                <w:numId w:val="1"/>
              </w:numPr>
              <w:jc w:val="both"/>
              <w:rPr>
                <w:sz w:val="24"/>
              </w:rPr>
            </w:pPr>
            <w:r>
              <w:rPr>
                <w:sz w:val="24"/>
              </w:rPr>
              <w:t>een En</w:t>
            </w:r>
            <w:r w:rsidR="001F34FD">
              <w:rPr>
                <w:sz w:val="24"/>
              </w:rPr>
              <w:t xml:space="preserve">gelse versie van de gedragscode </w:t>
            </w:r>
          </w:p>
        </w:tc>
        <w:tc>
          <w:tcPr>
            <w:tcW w:w="1111" w:type="dxa"/>
          </w:tcPr>
          <w:p w14:paraId="69D052B2" w14:textId="77777777" w:rsidR="009E422F" w:rsidRPr="00092089" w:rsidRDefault="009E422F" w:rsidP="00BB5D7B">
            <w:pPr>
              <w:jc w:val="both"/>
              <w:rPr>
                <w:sz w:val="24"/>
              </w:rPr>
            </w:pPr>
          </w:p>
        </w:tc>
        <w:tc>
          <w:tcPr>
            <w:tcW w:w="1152" w:type="dxa"/>
          </w:tcPr>
          <w:p w14:paraId="780178D0" w14:textId="77777777" w:rsidR="009E422F" w:rsidRPr="00092089" w:rsidRDefault="009E422F" w:rsidP="00BB5D7B">
            <w:pPr>
              <w:jc w:val="both"/>
              <w:rPr>
                <w:sz w:val="24"/>
              </w:rPr>
            </w:pPr>
          </w:p>
        </w:tc>
      </w:tr>
      <w:tr w:rsidR="009E422F" w:rsidRPr="00F824DA" w14:paraId="7B8F3DFC" w14:textId="77777777" w:rsidTr="009E422F">
        <w:trPr>
          <w:trHeight w:val="737"/>
        </w:trPr>
        <w:tc>
          <w:tcPr>
            <w:tcW w:w="7966" w:type="dxa"/>
          </w:tcPr>
          <w:p w14:paraId="5C858856" w14:textId="40E138FE" w:rsidR="009E422F" w:rsidRPr="009D172B" w:rsidRDefault="00F824DA" w:rsidP="00602451">
            <w:pPr>
              <w:pStyle w:val="ListParagraph"/>
              <w:numPr>
                <w:ilvl w:val="0"/>
                <w:numId w:val="2"/>
              </w:numPr>
              <w:jc w:val="both"/>
              <w:rPr>
                <w:sz w:val="24"/>
              </w:rPr>
            </w:pPr>
            <w:r w:rsidRPr="00F824DA">
              <w:rPr>
                <w:b/>
                <w:sz w:val="24"/>
              </w:rPr>
              <w:t>Een geaccrediteerd toezichtsorgaan</w:t>
            </w:r>
            <w:r w:rsidRPr="00F824DA">
              <w:rPr>
                <w:sz w:val="24"/>
              </w:rPr>
              <w:t xml:space="preserve">. De gedragscode moet een </w:t>
            </w:r>
            <w:r w:rsidR="00602451" w:rsidRPr="00F824DA">
              <w:rPr>
                <w:sz w:val="24"/>
              </w:rPr>
              <w:t xml:space="preserve">(intern of extern) </w:t>
            </w:r>
            <w:r w:rsidRPr="00F824DA">
              <w:rPr>
                <w:sz w:val="24"/>
              </w:rPr>
              <w:t xml:space="preserve">geaccrediteerd toezichtsorgaan aanduiden. </w:t>
            </w:r>
            <w:r w:rsidR="001041B2">
              <w:rPr>
                <w:sz w:val="24"/>
              </w:rPr>
              <w:t xml:space="preserve">De </w:t>
            </w:r>
            <w:hyperlink r:id="rId11" w:history="1">
              <w:r w:rsidR="009D172B" w:rsidRPr="001041B2">
                <w:rPr>
                  <w:rStyle w:val="Hyperlink"/>
                  <w:color w:val="776ABB"/>
                  <w:sz w:val="24"/>
                </w:rPr>
                <w:t>aanvraag voor accreditatie</w:t>
              </w:r>
            </w:hyperlink>
            <w:r w:rsidR="009D172B">
              <w:rPr>
                <w:sz w:val="24"/>
              </w:rPr>
              <w:t xml:space="preserve"> doet u gelijktijdig met het neerleggen van de gedragscode bij de </w:t>
            </w:r>
            <w:r w:rsidR="00602451">
              <w:rPr>
                <w:sz w:val="24"/>
              </w:rPr>
              <w:t>GBA</w:t>
            </w:r>
            <w:r w:rsidR="009D172B">
              <w:rPr>
                <w:sz w:val="24"/>
              </w:rPr>
              <w:t xml:space="preserve">. </w:t>
            </w:r>
            <w:r w:rsidRPr="009D172B">
              <w:rPr>
                <w:sz w:val="24"/>
              </w:rPr>
              <w:t xml:space="preserve">Deze vereiste </w:t>
            </w:r>
            <w:r w:rsidRPr="00602451">
              <w:rPr>
                <w:b/>
                <w:sz w:val="24"/>
              </w:rPr>
              <w:t>geldt niet</w:t>
            </w:r>
            <w:r w:rsidRPr="009D172B">
              <w:rPr>
                <w:sz w:val="24"/>
              </w:rPr>
              <w:t xml:space="preserve"> voor gedragscodes in de publieke sector met betrekking tot verwerkingen door overheidsinstanties en organen. </w:t>
            </w:r>
            <w:r w:rsidR="00602451">
              <w:rPr>
                <w:sz w:val="24"/>
              </w:rPr>
              <w:t>U blijft in dit laatste geval wel verplicht om een toezichtsmechanisme in te stellen dat waakt over de naleving van de gedragscode (zie punt 4).</w:t>
            </w:r>
          </w:p>
        </w:tc>
        <w:tc>
          <w:tcPr>
            <w:tcW w:w="1111" w:type="dxa"/>
          </w:tcPr>
          <w:p w14:paraId="09CC2349" w14:textId="77777777" w:rsidR="009E422F" w:rsidRPr="00F824DA" w:rsidRDefault="009E422F" w:rsidP="00BB5D7B">
            <w:pPr>
              <w:jc w:val="both"/>
              <w:rPr>
                <w:sz w:val="24"/>
              </w:rPr>
            </w:pPr>
          </w:p>
        </w:tc>
        <w:tc>
          <w:tcPr>
            <w:tcW w:w="1152" w:type="dxa"/>
          </w:tcPr>
          <w:p w14:paraId="77726B67" w14:textId="77777777" w:rsidR="009E422F" w:rsidRPr="00F824DA" w:rsidRDefault="009E422F" w:rsidP="00BB5D7B">
            <w:pPr>
              <w:jc w:val="both"/>
              <w:rPr>
                <w:sz w:val="24"/>
              </w:rPr>
            </w:pPr>
          </w:p>
        </w:tc>
      </w:tr>
      <w:tr w:rsidR="009E422F" w:rsidRPr="00F824DA" w14:paraId="666D6DAE" w14:textId="77777777" w:rsidTr="009E422F">
        <w:trPr>
          <w:trHeight w:val="764"/>
        </w:trPr>
        <w:tc>
          <w:tcPr>
            <w:tcW w:w="7966" w:type="dxa"/>
          </w:tcPr>
          <w:p w14:paraId="4149D838" w14:textId="7365E282" w:rsidR="009E422F" w:rsidRPr="00F824DA" w:rsidRDefault="00F824DA" w:rsidP="00602451">
            <w:pPr>
              <w:pStyle w:val="ListParagraph"/>
              <w:numPr>
                <w:ilvl w:val="0"/>
                <w:numId w:val="2"/>
              </w:numPr>
              <w:jc w:val="both"/>
              <w:rPr>
                <w:sz w:val="24"/>
              </w:rPr>
            </w:pPr>
            <w:r w:rsidRPr="00F824DA">
              <w:rPr>
                <w:b/>
                <w:sz w:val="24"/>
              </w:rPr>
              <w:t>Toezichtsmechanisme.</w:t>
            </w:r>
            <w:r w:rsidRPr="00F824DA">
              <w:rPr>
                <w:sz w:val="24"/>
              </w:rPr>
              <w:t xml:space="preserve"> De gedragscode moet voorzien in mechanisme</w:t>
            </w:r>
            <w:r w:rsidR="00C8093A">
              <w:rPr>
                <w:sz w:val="24"/>
              </w:rPr>
              <w:t>n</w:t>
            </w:r>
            <w:r w:rsidRPr="00F824DA">
              <w:rPr>
                <w:sz w:val="24"/>
              </w:rPr>
              <w:t xml:space="preserve"> die toelaten om te waken over</w:t>
            </w:r>
            <w:r>
              <w:rPr>
                <w:sz w:val="24"/>
              </w:rPr>
              <w:t xml:space="preserve"> de naleving van de gedragscode</w:t>
            </w:r>
            <w:r w:rsidR="00C8093A">
              <w:rPr>
                <w:sz w:val="24"/>
              </w:rPr>
              <w:t xml:space="preserve"> door de leden van de gedragscode</w:t>
            </w:r>
            <w:r>
              <w:rPr>
                <w:sz w:val="24"/>
              </w:rPr>
              <w:t xml:space="preserve"> (bijv. auditmechanismes</w:t>
            </w:r>
            <w:r w:rsidR="00C8093A">
              <w:rPr>
                <w:sz w:val="24"/>
              </w:rPr>
              <w:t xml:space="preserve"> of vormen van rapportering</w:t>
            </w:r>
            <w:r>
              <w:rPr>
                <w:sz w:val="24"/>
              </w:rPr>
              <w:t>).</w:t>
            </w:r>
          </w:p>
        </w:tc>
        <w:tc>
          <w:tcPr>
            <w:tcW w:w="1111" w:type="dxa"/>
          </w:tcPr>
          <w:p w14:paraId="48F8B6EF" w14:textId="77777777" w:rsidR="009E422F" w:rsidRPr="00F824DA" w:rsidRDefault="009E422F" w:rsidP="00BB5D7B">
            <w:pPr>
              <w:jc w:val="both"/>
              <w:rPr>
                <w:sz w:val="24"/>
              </w:rPr>
            </w:pPr>
          </w:p>
        </w:tc>
        <w:tc>
          <w:tcPr>
            <w:tcW w:w="1152" w:type="dxa"/>
          </w:tcPr>
          <w:p w14:paraId="088EB975" w14:textId="77777777" w:rsidR="009E422F" w:rsidRPr="00F824DA" w:rsidRDefault="009E422F" w:rsidP="00BB5D7B">
            <w:pPr>
              <w:jc w:val="both"/>
              <w:rPr>
                <w:sz w:val="24"/>
              </w:rPr>
            </w:pPr>
          </w:p>
        </w:tc>
      </w:tr>
      <w:tr w:rsidR="009E422F" w:rsidRPr="00F824DA" w14:paraId="23AC617F" w14:textId="77777777" w:rsidTr="009E422F">
        <w:trPr>
          <w:trHeight w:val="737"/>
        </w:trPr>
        <w:tc>
          <w:tcPr>
            <w:tcW w:w="7966" w:type="dxa"/>
          </w:tcPr>
          <w:p w14:paraId="4C565DC2" w14:textId="1C3EE173" w:rsidR="009E422F" w:rsidRPr="00F824DA" w:rsidRDefault="00F824DA" w:rsidP="00F824DA">
            <w:pPr>
              <w:pStyle w:val="ListParagraph"/>
              <w:numPr>
                <w:ilvl w:val="0"/>
                <w:numId w:val="2"/>
              </w:numPr>
              <w:jc w:val="both"/>
              <w:rPr>
                <w:sz w:val="24"/>
              </w:rPr>
            </w:pPr>
            <w:r w:rsidRPr="00F824DA">
              <w:rPr>
                <w:b/>
                <w:sz w:val="24"/>
              </w:rPr>
              <w:t>Overleg</w:t>
            </w:r>
            <w:r w:rsidR="009E422F" w:rsidRPr="00F824DA">
              <w:rPr>
                <w:sz w:val="24"/>
              </w:rPr>
              <w:t xml:space="preserve">. </w:t>
            </w:r>
            <w:r w:rsidRPr="00F824DA">
              <w:rPr>
                <w:sz w:val="24"/>
              </w:rPr>
              <w:t xml:space="preserve">De vereniging die de gedragscode indient moet kunnen aantonen dat zij de betrokken partijen heeft geconsulteerd (bijv. </w:t>
            </w:r>
            <w:r>
              <w:rPr>
                <w:sz w:val="24"/>
              </w:rPr>
              <w:t xml:space="preserve">betrokkenen, leden van de gedragscode, </w:t>
            </w:r>
            <w:r w:rsidR="00205F80">
              <w:rPr>
                <w:sz w:val="24"/>
              </w:rPr>
              <w:t>etc.</w:t>
            </w:r>
            <w:r>
              <w:rPr>
                <w:sz w:val="24"/>
              </w:rPr>
              <w:t>…) en rekening hield met hun opmerkingen. Indien een dergelijke overleg niet plaatsvond, moet de aanvrager dit motiveren.</w:t>
            </w:r>
            <w:r w:rsidR="009E422F" w:rsidRPr="00F824DA">
              <w:rPr>
                <w:sz w:val="24"/>
              </w:rPr>
              <w:t xml:space="preserve"> </w:t>
            </w:r>
          </w:p>
        </w:tc>
        <w:tc>
          <w:tcPr>
            <w:tcW w:w="1111" w:type="dxa"/>
          </w:tcPr>
          <w:p w14:paraId="2857BF95" w14:textId="77777777" w:rsidR="009E422F" w:rsidRPr="00F824DA" w:rsidRDefault="009E422F" w:rsidP="00BB5D7B">
            <w:pPr>
              <w:jc w:val="both"/>
              <w:rPr>
                <w:sz w:val="24"/>
              </w:rPr>
            </w:pPr>
          </w:p>
        </w:tc>
        <w:tc>
          <w:tcPr>
            <w:tcW w:w="1152" w:type="dxa"/>
          </w:tcPr>
          <w:p w14:paraId="495D8461" w14:textId="77777777" w:rsidR="009E422F" w:rsidRPr="00F824DA" w:rsidRDefault="009E422F" w:rsidP="00BB5D7B">
            <w:pPr>
              <w:jc w:val="both"/>
              <w:rPr>
                <w:sz w:val="24"/>
              </w:rPr>
            </w:pPr>
          </w:p>
        </w:tc>
      </w:tr>
      <w:tr w:rsidR="009E422F" w:rsidRPr="00695D0B" w14:paraId="7CE56250" w14:textId="77777777" w:rsidTr="009E422F">
        <w:trPr>
          <w:trHeight w:val="737"/>
        </w:trPr>
        <w:tc>
          <w:tcPr>
            <w:tcW w:w="7966" w:type="dxa"/>
          </w:tcPr>
          <w:p w14:paraId="2724F9F7" w14:textId="60338FFE" w:rsidR="009E422F" w:rsidRPr="00695D0B" w:rsidRDefault="005D1F60" w:rsidP="00695D0B">
            <w:pPr>
              <w:pStyle w:val="ListParagraph"/>
              <w:numPr>
                <w:ilvl w:val="0"/>
                <w:numId w:val="2"/>
              </w:numPr>
              <w:jc w:val="both"/>
              <w:rPr>
                <w:sz w:val="24"/>
              </w:rPr>
            </w:pPr>
            <w:r w:rsidRPr="00695D0B">
              <w:rPr>
                <w:b/>
                <w:sz w:val="24"/>
              </w:rPr>
              <w:t>Nationale wetgeving</w:t>
            </w:r>
            <w:r w:rsidR="009E422F" w:rsidRPr="00695D0B">
              <w:rPr>
                <w:sz w:val="24"/>
              </w:rPr>
              <w:t xml:space="preserve">. </w:t>
            </w:r>
            <w:r w:rsidR="00695D0B" w:rsidRPr="00F824DA">
              <w:rPr>
                <w:sz w:val="24"/>
              </w:rPr>
              <w:t>De vereniging die de gedragscode indient moet kunnen aantonen</w:t>
            </w:r>
            <w:r w:rsidR="00695D0B">
              <w:rPr>
                <w:sz w:val="24"/>
              </w:rPr>
              <w:t xml:space="preserve"> dat de gedragscode in overeenstemming is met de nationale wetgeving van de landen waarin de gedragscode van toepassing is. Dit betreft niet alleen nationale wetgeving inzake verwerking van persoonsgegevens, maar ook specifieke wetgeving die betrekking heeft op de sector in kwestie.</w:t>
            </w:r>
          </w:p>
        </w:tc>
        <w:tc>
          <w:tcPr>
            <w:tcW w:w="1111" w:type="dxa"/>
          </w:tcPr>
          <w:p w14:paraId="50962E61" w14:textId="77777777" w:rsidR="009E422F" w:rsidRPr="00695D0B" w:rsidRDefault="009E422F" w:rsidP="00BB5D7B">
            <w:pPr>
              <w:jc w:val="both"/>
              <w:rPr>
                <w:sz w:val="24"/>
              </w:rPr>
            </w:pPr>
          </w:p>
        </w:tc>
        <w:tc>
          <w:tcPr>
            <w:tcW w:w="1152" w:type="dxa"/>
          </w:tcPr>
          <w:p w14:paraId="2C7E1B2D" w14:textId="77777777" w:rsidR="009E422F" w:rsidRPr="00695D0B" w:rsidRDefault="009E422F" w:rsidP="00BB5D7B">
            <w:pPr>
              <w:jc w:val="both"/>
              <w:rPr>
                <w:sz w:val="24"/>
              </w:rPr>
            </w:pPr>
          </w:p>
        </w:tc>
      </w:tr>
    </w:tbl>
    <w:p w14:paraId="06F99685" w14:textId="77777777" w:rsidR="00136EA6" w:rsidRPr="00695D0B" w:rsidRDefault="00136EA6" w:rsidP="00A577E6">
      <w:pPr>
        <w:tabs>
          <w:tab w:val="left" w:pos="1050"/>
        </w:tabs>
      </w:pPr>
    </w:p>
    <w:sectPr w:rsidR="00136EA6" w:rsidRPr="00695D0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228FC" w14:textId="77777777" w:rsidR="00993916" w:rsidRDefault="00993916" w:rsidP="00993916">
      <w:pPr>
        <w:spacing w:after="0" w:line="240" w:lineRule="auto"/>
      </w:pPr>
      <w:r>
        <w:separator/>
      </w:r>
    </w:p>
  </w:endnote>
  <w:endnote w:type="continuationSeparator" w:id="0">
    <w:p w14:paraId="33325AF7" w14:textId="77777777" w:rsidR="00993916" w:rsidRDefault="00993916" w:rsidP="00993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6F44C" w14:textId="77777777" w:rsidR="00993916" w:rsidRDefault="00993916" w:rsidP="00993916">
      <w:pPr>
        <w:spacing w:after="0" w:line="240" w:lineRule="auto"/>
      </w:pPr>
      <w:r>
        <w:separator/>
      </w:r>
    </w:p>
  </w:footnote>
  <w:footnote w:type="continuationSeparator" w:id="0">
    <w:p w14:paraId="2393C00C" w14:textId="77777777" w:rsidR="00993916" w:rsidRDefault="00993916" w:rsidP="00993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1AC"/>
    <w:multiLevelType w:val="hybridMultilevel"/>
    <w:tmpl w:val="EBB4F968"/>
    <w:lvl w:ilvl="0" w:tplc="BE0A2BFC">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E03B3E"/>
    <w:multiLevelType w:val="hybridMultilevel"/>
    <w:tmpl w:val="36D60F4A"/>
    <w:lvl w:ilvl="0" w:tplc="081A1056">
      <w:start w:val="1"/>
      <w:numFmt w:val="decimal"/>
      <w:lvlText w:val="%1."/>
      <w:lvlJc w:val="left"/>
      <w:pPr>
        <w:ind w:left="360" w:hanging="360"/>
      </w:pPr>
      <w:rPr>
        <w:rFonts w:hint="default"/>
        <w:b/>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15:restartNumberingAfterBreak="0">
    <w:nsid w:val="0DA77DD0"/>
    <w:multiLevelType w:val="hybridMultilevel"/>
    <w:tmpl w:val="6824CA20"/>
    <w:lvl w:ilvl="0" w:tplc="8A16F270">
      <w:numFmt w:val="bullet"/>
      <w:lvlText w:val="-"/>
      <w:lvlJc w:val="left"/>
      <w:pPr>
        <w:ind w:left="360" w:hanging="360"/>
      </w:pPr>
      <w:rPr>
        <w:rFonts w:ascii="Calibri" w:eastAsiaTheme="minorHAnsi" w:hAnsi="Calibri" w:cstheme="minorBid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A6"/>
    <w:rsid w:val="0001627A"/>
    <w:rsid w:val="00092089"/>
    <w:rsid w:val="000E6E9A"/>
    <w:rsid w:val="001041B2"/>
    <w:rsid w:val="00126762"/>
    <w:rsid w:val="00136EA6"/>
    <w:rsid w:val="0018491D"/>
    <w:rsid w:val="00187DB6"/>
    <w:rsid w:val="001D3D75"/>
    <w:rsid w:val="001F34FD"/>
    <w:rsid w:val="002020CD"/>
    <w:rsid w:val="00203ABF"/>
    <w:rsid w:val="00205F80"/>
    <w:rsid w:val="0023633A"/>
    <w:rsid w:val="00280354"/>
    <w:rsid w:val="002C3416"/>
    <w:rsid w:val="002D49B3"/>
    <w:rsid w:val="00300BD4"/>
    <w:rsid w:val="003A426F"/>
    <w:rsid w:val="003E12C9"/>
    <w:rsid w:val="00465702"/>
    <w:rsid w:val="00491C06"/>
    <w:rsid w:val="004E2736"/>
    <w:rsid w:val="00506E70"/>
    <w:rsid w:val="005161F5"/>
    <w:rsid w:val="00553312"/>
    <w:rsid w:val="00587DC7"/>
    <w:rsid w:val="005D10B0"/>
    <w:rsid w:val="005D1F60"/>
    <w:rsid w:val="005F1C12"/>
    <w:rsid w:val="00602451"/>
    <w:rsid w:val="00655A5A"/>
    <w:rsid w:val="0067259C"/>
    <w:rsid w:val="0067265B"/>
    <w:rsid w:val="00695D0B"/>
    <w:rsid w:val="006D68F9"/>
    <w:rsid w:val="00724088"/>
    <w:rsid w:val="007553DE"/>
    <w:rsid w:val="00756D01"/>
    <w:rsid w:val="00790A08"/>
    <w:rsid w:val="007D3AE3"/>
    <w:rsid w:val="00822D80"/>
    <w:rsid w:val="008277A9"/>
    <w:rsid w:val="00835A55"/>
    <w:rsid w:val="00882172"/>
    <w:rsid w:val="008E2246"/>
    <w:rsid w:val="00985B8B"/>
    <w:rsid w:val="00993916"/>
    <w:rsid w:val="009966F9"/>
    <w:rsid w:val="009D172B"/>
    <w:rsid w:val="009E1C8F"/>
    <w:rsid w:val="009E422F"/>
    <w:rsid w:val="009E5002"/>
    <w:rsid w:val="009F51D7"/>
    <w:rsid w:val="00A133B1"/>
    <w:rsid w:val="00A13A92"/>
    <w:rsid w:val="00A33459"/>
    <w:rsid w:val="00A577E6"/>
    <w:rsid w:val="00AA6FC5"/>
    <w:rsid w:val="00B24F01"/>
    <w:rsid w:val="00B44C58"/>
    <w:rsid w:val="00BB5D7B"/>
    <w:rsid w:val="00C11BF2"/>
    <w:rsid w:val="00C8093A"/>
    <w:rsid w:val="00C81240"/>
    <w:rsid w:val="00CA5B36"/>
    <w:rsid w:val="00CC5112"/>
    <w:rsid w:val="00CE334A"/>
    <w:rsid w:val="00D04447"/>
    <w:rsid w:val="00D1659D"/>
    <w:rsid w:val="00DA7EEB"/>
    <w:rsid w:val="00DE156C"/>
    <w:rsid w:val="00DE72C5"/>
    <w:rsid w:val="00E53A40"/>
    <w:rsid w:val="00E8182E"/>
    <w:rsid w:val="00E84D8B"/>
    <w:rsid w:val="00ED3CC9"/>
    <w:rsid w:val="00F0746D"/>
    <w:rsid w:val="00F104B4"/>
    <w:rsid w:val="00F824DA"/>
    <w:rsid w:val="00FA61F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18EFD75"/>
  <w15:chartTrackingRefBased/>
  <w15:docId w15:val="{189933CB-46A4-409A-9DB7-67D388F2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6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EA6"/>
    <w:pPr>
      <w:ind w:left="720"/>
      <w:contextualSpacing/>
    </w:pPr>
  </w:style>
  <w:style w:type="paragraph" w:styleId="BalloonText">
    <w:name w:val="Balloon Text"/>
    <w:basedOn w:val="Normal"/>
    <w:link w:val="BalloonTextChar"/>
    <w:uiPriority w:val="99"/>
    <w:semiHidden/>
    <w:unhideWhenUsed/>
    <w:rsid w:val="00BB5D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D7B"/>
    <w:rPr>
      <w:rFonts w:ascii="Segoe UI" w:hAnsi="Segoe UI" w:cs="Segoe UI"/>
      <w:sz w:val="18"/>
      <w:szCs w:val="18"/>
    </w:rPr>
  </w:style>
  <w:style w:type="paragraph" w:styleId="FootnoteText">
    <w:name w:val="footnote text"/>
    <w:basedOn w:val="Normal"/>
    <w:link w:val="FootnoteTextChar"/>
    <w:uiPriority w:val="99"/>
    <w:semiHidden/>
    <w:unhideWhenUsed/>
    <w:rsid w:val="009939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916"/>
    <w:rPr>
      <w:sz w:val="20"/>
      <w:szCs w:val="20"/>
    </w:rPr>
  </w:style>
  <w:style w:type="character" w:styleId="FootnoteReference">
    <w:name w:val="footnote reference"/>
    <w:basedOn w:val="DefaultParagraphFont"/>
    <w:uiPriority w:val="99"/>
    <w:semiHidden/>
    <w:unhideWhenUsed/>
    <w:rsid w:val="00993916"/>
    <w:rPr>
      <w:vertAlign w:val="superscript"/>
    </w:rPr>
  </w:style>
  <w:style w:type="character" w:styleId="Hyperlink">
    <w:name w:val="Hyperlink"/>
    <w:basedOn w:val="DefaultParagraphFont"/>
    <w:uiPriority w:val="99"/>
    <w:unhideWhenUsed/>
    <w:rsid w:val="00993916"/>
    <w:rPr>
      <w:color w:val="0563C1" w:themeColor="hyperlink"/>
      <w:u w:val="single"/>
    </w:rPr>
  </w:style>
  <w:style w:type="paragraph" w:styleId="Header">
    <w:name w:val="header"/>
    <w:basedOn w:val="Normal"/>
    <w:link w:val="HeaderChar"/>
    <w:uiPriority w:val="99"/>
    <w:unhideWhenUsed/>
    <w:rsid w:val="00A577E6"/>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77E6"/>
  </w:style>
  <w:style w:type="paragraph" w:styleId="Footer">
    <w:name w:val="footer"/>
    <w:basedOn w:val="Normal"/>
    <w:link w:val="FooterChar"/>
    <w:uiPriority w:val="99"/>
    <w:unhideWhenUsed/>
    <w:rsid w:val="00A577E6"/>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77E6"/>
  </w:style>
  <w:style w:type="character" w:styleId="CommentReference">
    <w:name w:val="annotation reference"/>
    <w:basedOn w:val="DefaultParagraphFont"/>
    <w:uiPriority w:val="99"/>
    <w:semiHidden/>
    <w:unhideWhenUsed/>
    <w:rsid w:val="0067259C"/>
    <w:rPr>
      <w:sz w:val="16"/>
      <w:szCs w:val="16"/>
    </w:rPr>
  </w:style>
  <w:style w:type="paragraph" w:styleId="CommentText">
    <w:name w:val="annotation text"/>
    <w:basedOn w:val="Normal"/>
    <w:link w:val="CommentTextChar"/>
    <w:uiPriority w:val="99"/>
    <w:semiHidden/>
    <w:unhideWhenUsed/>
    <w:rsid w:val="0067259C"/>
    <w:pPr>
      <w:spacing w:line="240" w:lineRule="auto"/>
    </w:pPr>
    <w:rPr>
      <w:sz w:val="20"/>
      <w:szCs w:val="20"/>
    </w:rPr>
  </w:style>
  <w:style w:type="character" w:customStyle="1" w:styleId="CommentTextChar">
    <w:name w:val="Comment Text Char"/>
    <w:basedOn w:val="DefaultParagraphFont"/>
    <w:link w:val="CommentText"/>
    <w:uiPriority w:val="99"/>
    <w:semiHidden/>
    <w:rsid w:val="0067259C"/>
    <w:rPr>
      <w:sz w:val="20"/>
      <w:szCs w:val="20"/>
    </w:rPr>
  </w:style>
  <w:style w:type="paragraph" w:styleId="CommentSubject">
    <w:name w:val="annotation subject"/>
    <w:basedOn w:val="CommentText"/>
    <w:next w:val="CommentText"/>
    <w:link w:val="CommentSubjectChar"/>
    <w:uiPriority w:val="99"/>
    <w:semiHidden/>
    <w:unhideWhenUsed/>
    <w:rsid w:val="0067259C"/>
    <w:rPr>
      <w:b/>
      <w:bCs/>
    </w:rPr>
  </w:style>
  <w:style w:type="character" w:customStyle="1" w:styleId="CommentSubjectChar">
    <w:name w:val="Comment Subject Char"/>
    <w:basedOn w:val="CommentTextChar"/>
    <w:link w:val="CommentSubject"/>
    <w:uiPriority w:val="99"/>
    <w:semiHidden/>
    <w:rsid w:val="006725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gevensbeschermingsautoriteit.be/professioneel/avg/gedragscodes-en-toezichthoudend-orgaa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gevensbeschermingsautoriteit.be/professioneel/acties/accreditatie-van-een-toezichthoudend-orgaan-voor-een-gedragscode" TargetMode="External"/><Relationship Id="rId5" Type="http://schemas.openxmlformats.org/officeDocument/2006/relationships/webSettings" Target="webSettings.xml"/><Relationship Id="rId10" Type="http://schemas.openxmlformats.org/officeDocument/2006/relationships/hyperlink" Target="https://edpb.europa.eu/our-work-tools/our-documents/linee-guida/guidelines-12019-codes-conduct-and-monitoring-bodies-under_en" TargetMode="External"/><Relationship Id="rId4" Type="http://schemas.openxmlformats.org/officeDocument/2006/relationships/settings" Target="settings.xml"/><Relationship Id="rId9" Type="http://schemas.openxmlformats.org/officeDocument/2006/relationships/hyperlink" Target="https://edpb.europa.eu/our-work-tools/our-documents/linee-guida/guidelines-12019-codes-conduct-and-monitoring-bodies-under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486B8-019E-4223-A6E2-ABFFEEB2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658</Words>
  <Characters>3622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CBPL-CPVP</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 Antoine</dc:creator>
  <cp:keywords/>
  <dc:description/>
  <cp:lastModifiedBy>Waeterinckx Aurelie</cp:lastModifiedBy>
  <cp:revision>3</cp:revision>
  <cp:lastPrinted>2019-06-26T08:20:00Z</cp:lastPrinted>
  <dcterms:created xsi:type="dcterms:W3CDTF">2020-12-03T14:39:00Z</dcterms:created>
  <dcterms:modified xsi:type="dcterms:W3CDTF">2020-12-03T14:48:00Z</dcterms:modified>
</cp:coreProperties>
</file>